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sz w:val="36"/>
          <w:szCs w:val="36"/>
        </w:rPr>
        <w:t xml:space="preserve">TABAC 10%</w:t>
      </w:r>
    </w:p>
    <w:p>
      <w:pPr>
        <w:spacing w:after="60"/>
      </w:pPr>
      <w:r>
        <w:rPr>
          <w:rFonts w:ascii="Arial" w:cs="Arial" w:eastAsia="Arial" w:hAnsi="Arial"/>
          <w:sz w:val="26"/>
          <w:szCs w:val="26"/>
        </w:rPr>
        <w:t xml:space="preserve">Fiche de Données de Sécurité</w:t>
      </w:r>
    </w:p>
    <w:p>
      <w:pPr>
        <w:spacing w:after="120"/>
      </w:pPr>
      <w:r>
        <w:rPr>
          <w:rFonts w:ascii="Arial" w:cs="Arial" w:eastAsia="Arial" w:hAnsi="Arial"/>
          <w:sz w:val="16"/>
          <w:szCs w:val="16"/>
        </w:rPr>
        <w:t xml:space="preserve">conformément au règlement (CE) n° 1907/2006 (REACH) modifié par le règlement (UE) 2020/878</w:t>
      </w:r>
    </w:p>
    <w:p>
      <w:pPr>
        <w:spacing w:after="240"/>
      </w:pPr>
      <w:r>
        <w:rPr>
          <w:rFonts w:ascii="Arial" w:cs="Arial" w:eastAsia="Arial" w:hAnsi="Arial"/>
          <w:sz w:val="16"/>
          <w:szCs w:val="16"/>
        </w:rPr>
        <w:t xml:space="preserve">Date d'émission: 20/10/2026    Version: 1.0</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 Identification de la substance/du mélange et de la société/de l'entreprise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1.1. Identificateur de produit</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Forme du produit</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Mélange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Nom commercial</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TABAC 10%</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Description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Préparation diluée à 10% du concentré TABAC dans une cire / base de bougie (nature de la base à compléter par le client)</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UFI</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À compléter par le client après notification PCN – mélange classé pour un danger pour la santé (H317), notification au centre antipoison requise au titre de l'annexe VIII du CLP. UFI du concentré à déclarer comme composant : MMED-D1U6-C00E-MTH5</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 Utilisations identifiées pertinentes de la substance ou du mélange et utilisations déconseillées</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Utilisations identifiées pertinentes</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Catégorie d'usage principal</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Bougie parfumée à destination des consommateurs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1.3. Renseignements concernant le fournisseur de la fiche de données de sécurité</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À compléter par le client (nom, adresse, téléphone et e-mail du fabricant de la bougie).</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 Numéro d'appel d'urgence</w:t>
            </w:r>
          </w:p>
        </w:tc>
      </w:tr>
    </w:tbl>
    <w:p>
      <w:pPr>
        <w:spacing w:after="60" w:before="0"/>
      </w:pPr>
      <w:r>
        <w:rPr>
          <w:sz w:val="18"/>
          <w:szCs w:val="18"/>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1500"/>
        <w:gridCol w:w="1500"/>
        <w:gridCol w:w="1700"/>
        <w:gridCol w:w="3638"/>
      </w:tblGrid>
      <w:tr>
        <w:trPr>
          <w:tblHeader/>
        </w:trPr>
        <w:tc>
          <w:tcPr>
            <w:tcW w:type="dxa" w:w="13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Pays/Région</w:t>
            </w:r>
          </w:p>
        </w:tc>
        <w:tc>
          <w:tcPr>
            <w:tcW w:type="dxa" w:w="15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Organisme/Société</w:t>
            </w:r>
          </w:p>
        </w:tc>
        <w:tc>
          <w:tcPr>
            <w:tcW w:type="dxa" w:w="15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Adresse</w:t>
            </w:r>
          </w:p>
        </w:tc>
        <w:tc>
          <w:tcPr>
            <w:tcW w:type="dxa" w:w="17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Numéro d'urgence</w:t>
            </w:r>
          </w:p>
        </w:tc>
        <w:tc>
          <w:tcPr>
            <w:tcW w:type="dxa" w:w="36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Commentaire</w:t>
            </w:r>
          </w:p>
        </w:tc>
      </w:tr>
      <w:tr>
        <w:trPr>
          <w:cantSplit/>
        </w:trPr>
        <w:tc>
          <w:tcPr>
            <w:tcW w:type="dxa" w:w="1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France</w:t>
            </w:r>
          </w:p>
        </w:tc>
        <w:tc>
          <w:tcPr>
            <w:tcW w:type="dxa" w:w="15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ORFILA</w:t>
            </w:r>
          </w:p>
        </w:tc>
        <w:tc>
          <w:tcPr>
            <w:tcW w:type="dxa" w:w="15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w:r>
          </w:p>
        </w:tc>
        <w:tc>
          <w:tcPr>
            <w:tcW w:type="dxa" w:w="17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+33 1 45 42 59 59</w:t>
            </w:r>
          </w:p>
        </w:tc>
        <w:tc>
          <w:tcPr>
            <w:tcW w:type="dxa" w:w="3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Ce numéro flèche automatiquement les appels vers le centre antipoison le plus proche, en fonction du lieu de l'appelant. Aide médicale gratuite (hors coût d'appel), 24h/24 et 7j/7.</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2: Identification des dangers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2.1. Classification de la substance ou du mélange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Classification selon le règlement (CE) N° 1272/2008 [CLP]</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Sensibilisation cutanée, catégorie 1</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H317</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Dangereux pour le milieu aquatique – Danger chronique, catégorie 3</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H412</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Texte intégral des mentions H et EUH : voir rubrique 16</w:t>
      </w:r>
    </w:p>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Effets néfastes physicochimiques, pour la santé humaine et pour l'environnement</w:t>
      </w:r>
    </w:p>
    <w:p>
      <w:pPr>
        <w:spacing w:after="60" w:before="0"/>
        <w:jc w:val="left"/>
      </w:pPr>
      <w:r>
        <w:rPr>
          <w:rFonts w:ascii="Arial" w:cs="Arial" w:eastAsia="Arial" w:hAnsi="Arial"/>
          <w:b w:val="false"/>
          <w:bCs w:val="false"/>
          <w:i w:val="false"/>
          <w:iCs w:val="false"/>
          <w:color w:val="000000"/>
          <w:sz w:val="18"/>
          <w:szCs w:val="18"/>
        </w:rPr>
        <w:t xml:space="preserve">Peut provoquer une allergie cutanée. Nocif pour les organismes aquatiques, entraîne des effets néfastes à long terme.</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2.2. Éléments d'étiquetage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Etiquetage selon le règlement (CE) N° 1272/2008 [CLP]</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Pictogrammes de danger (CLP)</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GHS07</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Mention d'avertissement (CLP)</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Attention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Contient</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2-(phenylmethylidene)octanal (alpha-hexyl cinnamaldehyde) ; iso e super ; 3-phenylprop-2-enal (cinnamaldehyde)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Mentions de danger (CLP)</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H317 - Peut provoquer une allergie cutanée.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H412 - Nocif pour les organismes aquatiques, entraîne des effets néfastes à long terme.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Conseils de prudence (CLP)</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P261 - Éviter de respirer les vapeurs.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P272 - Les vêtements de travail contaminés ne devraient pas sortir du lieu de travail.</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P273 - Éviter le rejet dans l'environnement.</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P280 - Porter des gants de protection.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P302+P352 - EN CAS DE CONTACT AVEC LA PEAU: laver abondamment à l'eau.</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P333+P313 - En cas d'irritation ou d'éruption cutanée: consulter un médecin.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P362+P364 - Enlever les vêtements contaminés et les laver avant réutilisation.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P501 - Éliminer le contenu/récipient conformément à la réglementation locale.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2.3. Autres dangers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Ne contient pas de substances PBT et/ou vPvB ≥ 0,1 % évaluées conformément à l'annexe XIII du règlement REACH.</w:t>
      </w:r>
    </w:p>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ou le Règlement (UE) 2018/605, à une concentration égale ou supérieure à 0,1 %.</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3: Composition/informations sur les composants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3.2. Mélanges</w:t>
            </w:r>
          </w:p>
        </w:tc>
      </w:tr>
    </w:tbl>
    <w:p>
      <w:pPr>
        <w:spacing w:after="60" w:before="0"/>
      </w:pPr>
      <w:r>
        <w:rPr>
          <w:sz w:val="18"/>
          <w:szCs w:val="18"/>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2300"/>
        <w:gridCol w:w="1100"/>
        <w:gridCol w:w="3238"/>
      </w:tblGrid>
      <w:tr>
        <w:trPr>
          <w:tblHeader/>
        </w:trPr>
        <w:tc>
          <w:tcPr>
            <w:tcW w:type="dxa" w:w="30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Nom</w:t>
            </w:r>
          </w:p>
        </w:tc>
        <w:tc>
          <w:tcPr>
            <w:tcW w:type="dxa" w:w="23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Identificateur de produit</w:t>
            </w:r>
          </w:p>
        </w:tc>
        <w:tc>
          <w:tcPr>
            <w:tcW w:type="dxa" w:w="11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w:t>
            </w:r>
          </w:p>
        </w:tc>
        <w:tc>
          <w:tcPr>
            <w:tcW w:type="dxa" w:w="32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Classification selon le règlement (CE) N° 1272/2008 [CLP]</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Benzyl benzoate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120-51-4</w:t>
            </w:r>
          </w:p>
          <w:p>
            <w:pPr>
              <w:spacing w:after="0" w:before="0"/>
            </w:pPr>
            <w:r>
              <w:rPr>
                <w:rFonts w:ascii="Arial" w:cs="Arial" w:eastAsia="Arial" w:hAnsi="Arial"/>
                <w:sz w:val="18"/>
                <w:szCs w:val="18"/>
              </w:rPr>
              <w:t xml:space="preserve">N° CE: 204-402-9</w:t>
            </w:r>
          </w:p>
          <w:p>
            <w:pPr>
              <w:spacing w:after="0" w:before="0"/>
            </w:pPr>
            <w:r>
              <w:rPr>
                <w:rFonts w:ascii="Arial" w:cs="Arial" w:eastAsia="Arial" w:hAnsi="Arial"/>
                <w:sz w:val="18"/>
                <w:szCs w:val="18"/>
              </w:rPr>
              <w:t xml:space="preserve">N° REACH: 01-2119976371-33</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2 – 2,5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orale), H302</w:t>
            </w:r>
          </w:p>
          <w:p>
            <w:pPr>
              <w:spacing w:after="0" w:before="0"/>
            </w:pPr>
            <w:r>
              <w:rPr>
                <w:rFonts w:ascii="Arial" w:cs="Arial" w:eastAsia="Arial" w:hAnsi="Arial"/>
                <w:sz w:val="18"/>
                <w:szCs w:val="18"/>
              </w:rPr>
              <w:t xml:space="preserve">(ATE=1160 mg/kg de poids corporel)</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2-(phenylmethylidene)octanal (alpha-hexyl cinnamaldehyde)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101-86-0</w:t>
            </w:r>
          </w:p>
          <w:p>
            <w:pPr>
              <w:spacing w:after="0" w:before="0"/>
            </w:pPr>
            <w:r>
              <w:rPr>
                <w:rFonts w:ascii="Arial" w:cs="Arial" w:eastAsia="Arial" w:hAnsi="Arial"/>
                <w:sz w:val="18"/>
                <w:szCs w:val="18"/>
              </w:rPr>
              <w:t xml:space="preserve">N° CE: 202-983-3</w:t>
            </w:r>
          </w:p>
          <w:p>
            <w:pPr>
              <w:spacing w:after="0" w:before="0"/>
            </w:pPr>
            <w:r>
              <w:rPr>
                <w:rFonts w:ascii="Arial" w:cs="Arial" w:eastAsia="Arial" w:hAnsi="Arial"/>
                <w:sz w:val="18"/>
                <w:szCs w:val="18"/>
              </w:rPr>
              <w:t xml:space="preserve">N° REACH: 01-2119533092-50</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1 – 1,5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Reaction mass of 1-(1,2,3,4,5,6,7,8- / 1,2,3,4,6,7,8,8a- / 1,2,3,5,6,7,8,8a-octahydro-2,3,8,8-tetramethyl-2-naphthyl)ethan-1-one (iso e super)</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54464-57-2</w:t>
            </w:r>
          </w:p>
          <w:p>
            <w:pPr>
              <w:spacing w:after="0" w:before="0"/>
            </w:pPr>
            <w:r>
              <w:rPr>
                <w:rFonts w:ascii="Arial" w:cs="Arial" w:eastAsia="Arial" w:hAnsi="Arial"/>
                <w:sz w:val="18"/>
                <w:szCs w:val="18"/>
              </w:rPr>
              <w:t xml:space="preserve">N° CE: 915-730-3</w:t>
            </w:r>
          </w:p>
          <w:p>
            <w:pPr>
              <w:spacing w:after="0" w:before="0"/>
            </w:pPr>
            <w:r>
              <w:rPr>
                <w:rFonts w:ascii="Arial" w:cs="Arial" w:eastAsia="Arial" w:hAnsi="Arial"/>
                <w:sz w:val="18"/>
                <w:szCs w:val="18"/>
              </w:rPr>
              <w:t xml:space="preserve">N° REACH: 01-2119489989-04</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1 – 1,5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3-ethoxy-4-hydroxybenzaldehyde (ethyl vanillin)</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121-32-4</w:t>
            </w:r>
          </w:p>
          <w:p>
            <w:pPr>
              <w:spacing w:after="0" w:before="0"/>
            </w:pPr>
            <w:r>
              <w:rPr>
                <w:rFonts w:ascii="Arial" w:cs="Arial" w:eastAsia="Arial" w:hAnsi="Arial"/>
                <w:sz w:val="18"/>
                <w:szCs w:val="18"/>
              </w:rPr>
              <w:t xml:space="preserve">N° CE: 204-464-7</w:t>
            </w:r>
          </w:p>
          <w:p>
            <w:pPr>
              <w:spacing w:after="0" w:before="0"/>
            </w:pPr>
            <w:r>
              <w:rPr>
                <w:rFonts w:ascii="Arial" w:cs="Arial" w:eastAsia="Arial" w:hAnsi="Arial"/>
                <w:sz w:val="18"/>
                <w:szCs w:val="18"/>
              </w:rPr>
              <w:t xml:space="preserve">N° REACH: 01-2119958961-24</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0,5 – 1</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Eye Irrit. 2, H319</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(4-tert-butylcyclohexyl) acetate (vertenex)</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32210-23-4</w:t>
            </w:r>
          </w:p>
          <w:p>
            <w:pPr>
              <w:spacing w:after="0" w:before="0"/>
            </w:pPr>
            <w:r>
              <w:rPr>
                <w:rFonts w:ascii="Arial" w:cs="Arial" w:eastAsia="Arial" w:hAnsi="Arial"/>
                <w:sz w:val="18"/>
                <w:szCs w:val="18"/>
              </w:rPr>
              <w:t xml:space="preserve">N° CE: 250-954-9</w:t>
            </w:r>
          </w:p>
          <w:p>
            <w:pPr>
              <w:spacing w:after="0" w:before="0"/>
            </w:pPr>
            <w:r>
              <w:rPr>
                <w:rFonts w:ascii="Arial" w:cs="Arial" w:eastAsia="Arial" w:hAnsi="Arial"/>
                <w:sz w:val="18"/>
                <w:szCs w:val="18"/>
              </w:rPr>
              <w:t xml:space="preserve">N° REACH: 01-2119976286-24</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1B, H317</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(4R)-1-methyl-4-prop-1-en-2-ylcyclohexene (D-limonene)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5989-27-5</w:t>
            </w:r>
          </w:p>
          <w:p>
            <w:pPr>
              <w:spacing w:after="0" w:before="0"/>
            </w:pPr>
            <w:r>
              <w:rPr>
                <w:rFonts w:ascii="Arial" w:cs="Arial" w:eastAsia="Arial" w:hAnsi="Arial"/>
                <w:sz w:val="18"/>
                <w:szCs w:val="18"/>
              </w:rPr>
              <w:t xml:space="preserve">N° CE: 227-813-5</w:t>
            </w:r>
          </w:p>
          <w:p>
            <w:pPr>
              <w:spacing w:after="0" w:before="0"/>
            </w:pPr>
            <w:r>
              <w:rPr>
                <w:rFonts w:ascii="Arial" w:cs="Arial" w:eastAsia="Arial" w:hAnsi="Arial"/>
                <w:sz w:val="18"/>
                <w:szCs w:val="18"/>
              </w:rPr>
              <w:t xml:space="preserve">N° REACH: 01-2119529223-47</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Flam. Liq. 3, H226</w:t>
            </w:r>
          </w:p>
          <w:p>
            <w:pPr>
              <w:spacing w:after="0" w:before="0"/>
            </w:pPr>
            <w:r>
              <w:rPr>
                <w:rFonts w:ascii="Arial" w:cs="Arial" w:eastAsia="Arial" w:hAnsi="Arial"/>
                <w:sz w:val="18"/>
                <w:szCs w:val="18"/>
              </w:rPr>
              <w:t xml:space="preserve">Asp. Tox. 1, H304</w:t>
            </w:r>
          </w:p>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3, H412</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(E)-1-(2,6,6-trimethyl-1-cyclohex-2-enyl)but-2-en-1-one ((E)-alpha-damascone)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24720-09-0</w:t>
            </w:r>
          </w:p>
          <w:p>
            <w:pPr>
              <w:spacing w:after="0" w:before="0"/>
            </w:pPr>
            <w:r>
              <w:rPr>
                <w:rFonts w:ascii="Arial" w:cs="Arial" w:eastAsia="Arial" w:hAnsi="Arial"/>
                <w:sz w:val="18"/>
                <w:szCs w:val="18"/>
              </w:rPr>
              <w:t xml:space="preserve">N° CE: 246-430-4</w:t>
            </w:r>
          </w:p>
          <w:p>
            <w:pPr>
              <w:spacing w:after="0" w:before="0"/>
            </w:pPr>
            <w:r>
              <w:rPr>
                <w:rFonts w:ascii="Arial" w:cs="Arial" w:eastAsia="Arial" w:hAnsi="Arial"/>
                <w:sz w:val="18"/>
                <w:szCs w:val="18"/>
              </w:rPr>
              <w:t xml:space="preserve">N° REACH: 01-2120105799-47</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orale), H302</w:t>
            </w:r>
          </w:p>
          <w:p>
            <w:pPr>
              <w:spacing w:after="0" w:before="0"/>
            </w:pPr>
            <w:r>
              <w:rPr>
                <w:rFonts w:ascii="Arial" w:cs="Arial" w:eastAsia="Arial" w:hAnsi="Arial"/>
                <w:sz w:val="18"/>
                <w:szCs w:val="18"/>
              </w:rPr>
              <w:t xml:space="preserve">(ATE=1670 mg/kg de poids corporel)</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(E)-2-ethyl-4-(2,2,3-trimethyl-1-cyclopent-3-enyl)but-2-en-1-ol (bacdanol)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106185-75-5</w:t>
            </w:r>
          </w:p>
          <w:p>
            <w:pPr>
              <w:spacing w:after="0" w:before="0"/>
            </w:pPr>
            <w:r>
              <w:rPr>
                <w:rFonts w:ascii="Arial" w:cs="Arial" w:eastAsia="Arial" w:hAnsi="Arial"/>
                <w:sz w:val="18"/>
                <w:szCs w:val="18"/>
              </w:rPr>
              <w:t xml:space="preserve">N° CE: 701-122-3</w:t>
            </w:r>
          </w:p>
          <w:p>
            <w:pPr>
              <w:spacing w:after="0" w:before="0"/>
            </w:pPr>
            <w:r>
              <w:rPr>
                <w:rFonts w:ascii="Arial" w:cs="Arial" w:eastAsia="Arial" w:hAnsi="Arial"/>
                <w:sz w:val="18"/>
                <w:szCs w:val="18"/>
              </w:rPr>
              <w:t xml:space="preserve">N° REACH: 01-2119529224-45</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2,6-ditert-butyl-4-methylphenol (BHT)</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128-37-0</w:t>
            </w:r>
          </w:p>
          <w:p>
            <w:pPr>
              <w:spacing w:after="0" w:before="0"/>
            </w:pPr>
            <w:r>
              <w:rPr>
                <w:rFonts w:ascii="Arial" w:cs="Arial" w:eastAsia="Arial" w:hAnsi="Arial"/>
                <w:sz w:val="18"/>
                <w:szCs w:val="18"/>
              </w:rPr>
              <w:t xml:space="preserve">N° CE: 204-881-4</w:t>
            </w:r>
          </w:p>
          <w:p>
            <w:pPr>
              <w:spacing w:after="0" w:before="0"/>
            </w:pPr>
            <w:r>
              <w:rPr>
                <w:rFonts w:ascii="Arial" w:cs="Arial" w:eastAsia="Arial" w:hAnsi="Arial"/>
                <w:sz w:val="18"/>
                <w:szCs w:val="18"/>
              </w:rPr>
              <w:t xml:space="preserve">N° REACH: 01-2119565113-46</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1, H410 (M=1)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2-methoxy-4-prop-2-enylphenol (eugenol)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97-53-0</w:t>
            </w:r>
          </w:p>
          <w:p>
            <w:pPr>
              <w:spacing w:after="0" w:before="0"/>
            </w:pPr>
            <w:r>
              <w:rPr>
                <w:rFonts w:ascii="Arial" w:cs="Arial" w:eastAsia="Arial" w:hAnsi="Arial"/>
                <w:sz w:val="18"/>
                <w:szCs w:val="18"/>
              </w:rPr>
              <w:t xml:space="preserve">N° CE: 202-589-1</w:t>
            </w:r>
          </w:p>
          <w:p>
            <w:pPr>
              <w:spacing w:after="0" w:before="0"/>
            </w:pPr>
            <w:r>
              <w:rPr>
                <w:rFonts w:ascii="Arial" w:cs="Arial" w:eastAsia="Arial" w:hAnsi="Arial"/>
                <w:sz w:val="18"/>
                <w:szCs w:val="18"/>
              </w:rPr>
              <w:t xml:space="preserve">N° REACH: 01-2119971802-33</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3,7-dimethyloct-6-en-1-ol (citronellol)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106-22-9</w:t>
            </w:r>
          </w:p>
          <w:p>
            <w:pPr>
              <w:spacing w:after="0" w:before="0"/>
            </w:pPr>
            <w:r>
              <w:rPr>
                <w:rFonts w:ascii="Arial" w:cs="Arial" w:eastAsia="Arial" w:hAnsi="Arial"/>
                <w:sz w:val="18"/>
                <w:szCs w:val="18"/>
              </w:rPr>
              <w:t xml:space="preserve">N° CE: 203-375-0</w:t>
            </w:r>
          </w:p>
          <w:p>
            <w:pPr>
              <w:spacing w:after="0" w:before="0"/>
            </w:pPr>
            <w:r>
              <w:rPr>
                <w:rFonts w:ascii="Arial" w:cs="Arial" w:eastAsia="Arial" w:hAnsi="Arial"/>
                <w:sz w:val="18"/>
                <w:szCs w:val="18"/>
              </w:rPr>
              <w:t xml:space="preserve">N° REACH: 01-2119453995-23</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3,7-dimethylocta-1,6-dien-3-ol (linalool)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78-70-6</w:t>
            </w:r>
          </w:p>
          <w:p>
            <w:pPr>
              <w:spacing w:after="0" w:before="0"/>
            </w:pPr>
            <w:r>
              <w:rPr>
                <w:rFonts w:ascii="Arial" w:cs="Arial" w:eastAsia="Arial" w:hAnsi="Arial"/>
                <w:sz w:val="18"/>
                <w:szCs w:val="18"/>
              </w:rPr>
              <w:t xml:space="preserve">N° CE: 201-134-4</w:t>
            </w:r>
          </w:p>
          <w:p>
            <w:pPr>
              <w:spacing w:after="0" w:before="0"/>
            </w:pPr>
            <w:r>
              <w:rPr>
                <w:rFonts w:ascii="Arial" w:cs="Arial" w:eastAsia="Arial" w:hAnsi="Arial"/>
                <w:sz w:val="18"/>
                <w:szCs w:val="18"/>
              </w:rPr>
              <w:t xml:space="preserve">N° REACH: 01-2119474016-42</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3,7-dimethylocta-1,6-dien-3-yl acetate (linalyl acetate)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115-95-7</w:t>
            </w:r>
          </w:p>
          <w:p>
            <w:pPr>
              <w:spacing w:after="0" w:before="0"/>
            </w:pPr>
            <w:r>
              <w:rPr>
                <w:rFonts w:ascii="Arial" w:cs="Arial" w:eastAsia="Arial" w:hAnsi="Arial"/>
                <w:sz w:val="18"/>
                <w:szCs w:val="18"/>
              </w:rPr>
              <w:t xml:space="preserve">N° CE: 204-116-4</w:t>
            </w:r>
          </w:p>
          <w:p>
            <w:pPr>
              <w:spacing w:after="0" w:before="0"/>
            </w:pPr>
            <w:r>
              <w:rPr>
                <w:rFonts w:ascii="Arial" w:cs="Arial" w:eastAsia="Arial" w:hAnsi="Arial"/>
                <w:sz w:val="18"/>
                <w:szCs w:val="18"/>
              </w:rPr>
              <w:t xml:space="preserve">N° REACH: 01-2119454789-19</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3-phenylprop-2-enal (cinnamaldehyde)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104-55-2</w:t>
            </w:r>
          </w:p>
          <w:p>
            <w:pPr>
              <w:spacing w:after="0" w:before="0"/>
            </w:pPr>
            <w:r>
              <w:rPr>
                <w:rFonts w:ascii="Arial" w:cs="Arial" w:eastAsia="Arial" w:hAnsi="Arial"/>
                <w:sz w:val="18"/>
                <w:szCs w:val="18"/>
              </w:rPr>
              <w:t xml:space="preserve">N° CE: 203-213-9</w:t>
            </w:r>
          </w:p>
          <w:p>
            <w:pPr>
              <w:spacing w:after="0" w:before="0"/>
            </w:pPr>
            <w:r>
              <w:rPr>
                <w:rFonts w:ascii="Arial" w:cs="Arial" w:eastAsia="Arial" w:hAnsi="Arial"/>
                <w:sz w:val="18"/>
                <w:szCs w:val="18"/>
              </w:rPr>
              <w:t xml:space="preserve">N° REACH: 01-2119935242-45</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cutanée), H312</w:t>
            </w:r>
          </w:p>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1A, H317</w:t>
            </w:r>
          </w:p>
          <w:p>
            <w:pPr>
              <w:spacing w:after="0" w:before="0"/>
            </w:pPr>
            <w:r>
              <w:rPr>
                <w:rFonts w:ascii="Arial" w:cs="Arial" w:eastAsia="Arial" w:hAnsi="Arial"/>
                <w:sz w:val="18"/>
                <w:szCs w:val="18"/>
              </w:rPr>
              <w:t xml:space="preserve">Aquatic Chronic 3, H412</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[3R-(3a,3aß,6a,7ß,8aa)]-octahydro-6-methoxy-3,6,8,8-tetramethyl-1H-3a,7-methanoazulene (cedramber)</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67874-81-1</w:t>
            </w:r>
          </w:p>
          <w:p>
            <w:pPr>
              <w:spacing w:after="0" w:before="0"/>
            </w:pPr>
            <w:r>
              <w:rPr>
                <w:rFonts w:ascii="Arial" w:cs="Arial" w:eastAsia="Arial" w:hAnsi="Arial"/>
                <w:sz w:val="18"/>
                <w:szCs w:val="18"/>
              </w:rPr>
              <w:t xml:space="preserve">N° CE: 243-384-7</w:t>
            </w:r>
          </w:p>
          <w:p>
            <w:pPr>
              <w:spacing w:after="0" w:before="0"/>
            </w:pPr>
            <w:r>
              <w:rPr>
                <w:rFonts w:ascii="Arial" w:cs="Arial" w:eastAsia="Arial" w:hAnsi="Arial"/>
                <w:sz w:val="18"/>
                <w:szCs w:val="18"/>
              </w:rPr>
              <w:t xml:space="preserve">N° REACH: 01-2120228335-61</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1, H410 (M=1)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Chromen-2-one (coumarin)</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91-64-5</w:t>
            </w:r>
          </w:p>
          <w:p>
            <w:pPr>
              <w:spacing w:after="0" w:before="0"/>
            </w:pPr>
            <w:r>
              <w:rPr>
                <w:rFonts w:ascii="Arial" w:cs="Arial" w:eastAsia="Arial" w:hAnsi="Arial"/>
                <w:sz w:val="18"/>
                <w:szCs w:val="18"/>
              </w:rPr>
              <w:t xml:space="preserve">N° CE: 202-086-7</w:t>
            </w:r>
          </w:p>
          <w:p>
            <w:pPr>
              <w:spacing w:after="0" w:before="0"/>
            </w:pPr>
            <w:r>
              <w:rPr>
                <w:rFonts w:ascii="Arial" w:cs="Arial" w:eastAsia="Arial" w:hAnsi="Arial"/>
                <w:sz w:val="18"/>
                <w:szCs w:val="18"/>
              </w:rPr>
              <w:t xml:space="preserve">N° REACH: 01-2119943756-26</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orale), H302</w:t>
            </w:r>
          </w:p>
          <w:p>
            <w:pPr>
              <w:spacing w:after="0" w:before="0"/>
            </w:pPr>
            <w:r>
              <w:rPr>
                <w:rFonts w:ascii="Arial" w:cs="Arial" w:eastAsia="Arial" w:hAnsi="Arial"/>
                <w:sz w:val="18"/>
                <w:szCs w:val="18"/>
              </w:rPr>
              <w:t xml:space="preserve">(ATE=290 mg/kg de poids corporel)</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Chronic 3, H412</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Prop-2-enyl 3-cyclohexylpropanoate (allyl cyclohexyl propionate)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2705-87-5</w:t>
            </w:r>
          </w:p>
          <w:p>
            <w:pPr>
              <w:spacing w:after="0" w:before="0"/>
            </w:pPr>
            <w:r>
              <w:rPr>
                <w:rFonts w:ascii="Arial" w:cs="Arial" w:eastAsia="Arial" w:hAnsi="Arial"/>
                <w:sz w:val="18"/>
                <w:szCs w:val="18"/>
              </w:rPr>
              <w:t xml:space="preserve">N° CE: 220-292-5</w:t>
            </w:r>
          </w:p>
          <w:p>
            <w:pPr>
              <w:spacing w:after="0" w:before="0"/>
            </w:pPr>
            <w:r>
              <w:rPr>
                <w:rFonts w:ascii="Arial" w:cs="Arial" w:eastAsia="Arial" w:hAnsi="Arial"/>
                <w:sz w:val="18"/>
                <w:szCs w:val="18"/>
              </w:rPr>
              <w:t xml:space="preserve">N° REACH: 01-2119976355-27</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orale), H302</w:t>
            </w:r>
          </w:p>
          <w:p>
            <w:pPr>
              <w:spacing w:after="0" w:before="0"/>
            </w:pPr>
            <w:r>
              <w:rPr>
                <w:rFonts w:ascii="Arial" w:cs="Arial" w:eastAsia="Arial" w:hAnsi="Arial"/>
                <w:sz w:val="18"/>
                <w:szCs w:val="18"/>
              </w:rPr>
              <w:t xml:space="preserve">(ATE=480 mg/kg de poids corporel)</w:t>
            </w:r>
          </w:p>
          <w:p>
            <w:pPr>
              <w:spacing w:after="0" w:before="0"/>
            </w:pPr>
            <w:r>
              <w:rPr>
                <w:rFonts w:ascii="Arial" w:cs="Arial" w:eastAsia="Arial" w:hAnsi="Arial"/>
                <w:sz w:val="18"/>
                <w:szCs w:val="18"/>
              </w:rPr>
              <w:t xml:space="preserve">Acute Tox. 4 (par voie cutanée), H312</w:t>
            </w:r>
          </w:p>
          <w:p>
            <w:pPr>
              <w:spacing w:after="0" w:before="0"/>
            </w:pPr>
            <w:r>
              <w:rPr>
                <w:rFonts w:ascii="Arial" w:cs="Arial" w:eastAsia="Arial" w:hAnsi="Arial"/>
                <w:sz w:val="18"/>
                <w:szCs w:val="18"/>
              </w:rPr>
              <w:t xml:space="preserve">(ATE=1600 mg/kg de poids corporel)</w:t>
            </w:r>
          </w:p>
          <w:p>
            <w:pPr>
              <w:spacing w:after="0" w:before="0"/>
            </w:pPr>
            <w:r>
              <w:rPr>
                <w:rFonts w:ascii="Arial" w:cs="Arial" w:eastAsia="Arial" w:hAnsi="Arial"/>
                <w:sz w:val="18"/>
                <w:szCs w:val="18"/>
              </w:rPr>
              <w:t xml:space="preserve">Skin Sens. 1, H317</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2, H411</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Fourchettes : la FDS du concentré indique des tranches « [20-25] », « [10-15] », « [5-10] » et « [0-5] » %, soit après dilution à 10% : 2 – 2,5 ; 1 – 1,5 ; 0,5 – 1 ; ≤ 0,5 % (borne haute retenue pour la classification). Base de dilution : cire / base de bougie à compléter par le client (≈ 90% du mélange final). Si la base choisie ou un additif est lui-même classé dangereux, ses dangers doivent être ajoutés à cette rubrique et la classification du mélange final recalculée.</w:t>
      </w:r>
    </w:p>
    <w:p>
      <w:pPr>
        <w:spacing w:after="60" w:before="0"/>
        <w:jc w:val="left"/>
      </w:pPr>
      <w:r>
        <w:rPr>
          <w:rFonts w:ascii="Arial" w:cs="Arial" w:eastAsia="Arial" w:hAnsi="Arial"/>
          <w:b w:val="false"/>
          <w:bCs w:val="false"/>
          <w:i w:val="false"/>
          <w:iCs w:val="false"/>
          <w:color w:val="000000"/>
          <w:sz w:val="18"/>
          <w:szCs w:val="18"/>
        </w:rPr>
        <w:t xml:space="preserve">Texte intégral des mentions H et EUH : voir rubrique 16</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4: Premiers secours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4.1. Description des mesures de premiers secours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général</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En cas de malaise consulter un médecin.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après inhalation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Transporter la personne à l'extérieur et la maintenir dans une position où elle peut confortablement respirer.</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après contact avec la peau</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Laver la peau avec beaucoup d'eau. Enlever les vêtements contaminés. En cas d'irritation ou d'éruption cutanée: consulter un médecin.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après contact oculaire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Rincer avec précaution à l'eau pendant plusieurs minutes. Enlever les lentilles de contact si la victime en porte et si elles peuvent être facilement enlevées. Si l'irritation oculaire persiste: consulter un médecin.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après ingestion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Appeler un centre antipoison ou un médecin en cas de malaise.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Autoprotection du secouriste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Les secouristes seront équipés d'un équipement de protection individuelle approprié.</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4.2. Principaux symptômes et effets, aigus et différés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Symptômes/effets après inhalation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Aucun(es) dans des conditions normales.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Symptômes/effets après contact avec la peau</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Peut provoquer une allergie cutanée (rougeurs, démangeaisons, eczéma) chez les personnes sensibles.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Symptômes/effets après contact oculaire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Aucun(es) dans des conditions normales.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Symptômes/effets après ingestion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Aucun(es) dans des conditions normales.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4.3. Indication des éventuels soins médicaux immédiats et traitements particuliers nécessaires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Traitement symptomatique.</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5: Mesures de lutte contre l'incendie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5.1. Moyens d'extinction</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Moyens d'extinction appropriés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Eau pulvérisée. Poudre sèche. Mousse. Dioxyde de carbone.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Agents d'extinction non appropriés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Ne pas utiliser un fort courant d'eau.</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5.2. Dangers particuliers résultant de la substance ou du mélange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 d'incendie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 risque d'incendie particulier dans les conditions normales d'utilisation (concentré : point d'éclair &gt; 60 °C, coupe fermée). Les propriétés de la bougie finie dépendent de la cire / base employée.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 d'explosion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 danger d'explosion direct.</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Produits de décomposition dangereux en cas d'incendie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Dégagement possible de fumées toxiques.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5.3. Conseils aux pompiers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Instructions de lutte contre l'incendie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Combattre le feu à distance de sécurité et à partir d'un endroit protégé. Ne pas pénétrer dans la zone de feu sans équipement de protection, y compris une protection respiratoire.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Protection en cas d'incendie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Ne pas intervenir sans un équipement de protection adapté. Appareil de protection respiratoire autonome isolant. Protection complète du corps.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6: Mesures à prendre en cas de déversement accidentel</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6.1. Précautions individuelles, équipement de protection et procédures d'urgence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Mesures générales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Obturer la fuite si cela peut se faire sans danger. Avertir les autorités si le produit pénètre dans les égouts ou dans les eaux du domaine public. Absorber toute substance répandue.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les non-secouristes – Equipement de protection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Porter l'équipement de protection individuelle recommandé.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les non-secouristes – Procédures d'urgence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Ventiler la zone de déversement. Eviter le contact avec la peau et les yeux.</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les secouristes – Equipement de protection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Ne pas intervenir sans un équipement de protection adapté. Pour plus d'informations, se reporter à la rubrique 8.</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les secouristes – Procédures d'urgence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Eloigner le personnel superflu. Obturer la fuite si cela peut se faire sans danger.</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6.2. Précautions pour la protection de l'environnement</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Éviter le rejet dans l'environnement.</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6.3. Méthodes et matériel de confinement et de nettoyage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la rétention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À l'état fondu : absorber avec du sable ou de la terre et endiguer. À l'état solide : ramasser mécaniquement.</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Procédés de nettoyage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Recueillir dans des récipients fermés et appropriés pour l'élimination.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Autres informations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Eliminer les matières ou résidus solides dans un centre autorisé.</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6.4. Référence à d'autres rubriques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Pour plus d'informations, se reporter à la rubrique 13.</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7: Manipulation et stockage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7.1. Précautions à prendre pour une manipulation sans danger</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Dangers supplémentaires lors du traitement</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considéré comme dangereux dans des conditions normales d'utilisation.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Précautions à prendre pour une manipulation sans danger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Assurer une bonne ventilation du poste de travail, en particulier lors de la fusion de la cire. Eviter le contact avec la peau et les yeux. Porter un équipement de protection individuel.</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Mesures d'hygiène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Les vêtements de travail contaminés ne devraient pas sortir du lieu de travail. Laver les vêtements contaminés avant réutilisation. Ne pas manger, boire ou fumer en manipulant ce produit. Se laver les mains après toute manipulation.</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7.2. Conditions d'un stockage sûr, y compris les éventuelles incompatibilités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Mesures techniques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Conserver dans un endroit frais et bien ventilé à l'écart de la chaleur.</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Conditions de stockage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Tenir au frais. Protéger du rayonnement solaire.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Matériaux d'emballage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Toujours conserver le produit dans un emballage de même nature que l'emballage d'origine.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7.3. Utilisation(s) finale(s) particulière(s)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Bougie parfumée à destination des consommateurs.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8: Contrôles de l'exposition/protection individuelle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8.1. Paramètres de contrôle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Valeurs limites nationales d'exposition professionnelle et biologiques</w:t>
      </w:r>
    </w:p>
    <w:p>
      <w:pPr>
        <w:spacing w:after="60" w:before="0"/>
        <w:jc w:val="left"/>
      </w:pPr>
      <w:r>
        <w:rPr>
          <w:rFonts w:ascii="Arial" w:cs="Arial" w:eastAsia="Arial" w:hAnsi="Arial"/>
          <w:b w:val="false"/>
          <w:bCs w:val="false"/>
          <w:i w:val="false"/>
          <w:iCs w:val="false"/>
          <w:color w:val="000000"/>
          <w:sz w:val="18"/>
          <w:szCs w:val="18"/>
        </w:rPr>
        <w:t xml:space="preserve">Aucune valeur limite d'exposition professionnelle (VLEP) contraignante ou indicative n'est établie au niveau de l'UE ou en France pour les composants de ce mélange (FDS du concentré : pas de données).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8.2. Contrôles de l'exposition</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Contrôles techniques appropriés</w:t>
      </w:r>
    </w:p>
    <w:p>
      <w:pPr>
        <w:spacing w:after="60" w:before="0"/>
        <w:jc w:val="left"/>
      </w:pPr>
      <w:r>
        <w:rPr>
          <w:rFonts w:ascii="Arial" w:cs="Arial" w:eastAsia="Arial" w:hAnsi="Arial"/>
          <w:b w:val="false"/>
          <w:bCs w:val="false"/>
          <w:i w:val="false"/>
          <w:iCs w:val="false"/>
          <w:color w:val="000000"/>
          <w:sz w:val="18"/>
          <w:szCs w:val="18"/>
        </w:rPr>
        <w:t xml:space="preserve">Assurer une bonne ventilation du poste de travail.</w:t>
      </w:r>
    </w:p>
    <w:p>
      <w:pPr>
        <w:spacing w:after="60" w:before="0"/>
        <w:jc w:val="left"/>
      </w:pPr>
      <w:r>
        <w:rPr>
          <w:rFonts w:ascii="Arial" w:cs="Arial" w:eastAsia="Arial" w:hAnsi="Arial"/>
          <w:b/>
          <w:bCs/>
          <w:i w:val="false"/>
          <w:iCs w:val="false"/>
          <w:color w:val="000000"/>
          <w:sz w:val="18"/>
          <w:szCs w:val="18"/>
        </w:rPr>
        <w:t xml:space="preserve">Équipements de protection individuelle</w:t>
      </w:r>
    </w:p>
    <w:p>
      <w:pPr>
        <w:spacing w:after="60" w:before="0"/>
        <w:jc w:val="left"/>
      </w:pPr>
      <w:r>
        <w:rPr>
          <w:rFonts w:ascii="Arial" w:cs="Arial" w:eastAsia="Arial" w:hAnsi="Arial"/>
          <w:b w:val="false"/>
          <w:bCs w:val="false"/>
          <w:i w:val="false"/>
          <w:iCs w:val="false"/>
          <w:color w:val="000000"/>
          <w:sz w:val="18"/>
          <w:szCs w:val="18"/>
        </w:rPr>
        <w:t xml:space="preserve">Porter l'équipement de protection individuelle recommandé.</w:t>
      </w:r>
    </w:p>
    <w:p>
      <w:pPr>
        <w:spacing w:after="60" w:before="0"/>
        <w:jc w:val="left"/>
      </w:pPr>
      <w:r>
        <w:rPr>
          <w:rFonts w:ascii="Arial" w:cs="Arial" w:eastAsia="Arial" w:hAnsi="Arial"/>
          <w:b/>
          <w:bCs/>
          <w:i w:val="false"/>
          <w:iCs w:val="false"/>
          <w:color w:val="000000"/>
          <w:sz w:val="18"/>
          <w:szCs w:val="18"/>
        </w:rPr>
        <w:t xml:space="preserve">Protection des yeux et du visage</w:t>
      </w:r>
    </w:p>
    <w:p>
      <w:pPr>
        <w:spacing w:after="60" w:before="0"/>
        <w:jc w:val="left"/>
      </w:pPr>
      <w:r>
        <w:rPr>
          <w:rFonts w:ascii="Arial" w:cs="Arial" w:eastAsia="Arial" w:hAnsi="Arial"/>
          <w:b w:val="false"/>
          <w:bCs w:val="false"/>
          <w:i w:val="false"/>
          <w:iCs w:val="false"/>
          <w:color w:val="000000"/>
          <w:sz w:val="18"/>
          <w:szCs w:val="18"/>
        </w:rPr>
        <w:t xml:space="preserve">Lunettes de sécurité.</w:t>
      </w:r>
    </w:p>
    <w:p>
      <w:pPr>
        <w:spacing w:after="60" w:before="0"/>
        <w:jc w:val="left"/>
      </w:pPr>
      <w:r>
        <w:rPr>
          <w:rFonts w:ascii="Arial" w:cs="Arial" w:eastAsia="Arial" w:hAnsi="Arial"/>
          <w:b/>
          <w:bCs/>
          <w:i w:val="false"/>
          <w:iCs w:val="false"/>
          <w:color w:val="000000"/>
          <w:sz w:val="18"/>
          <w:szCs w:val="18"/>
        </w:rPr>
        <w:t xml:space="preserve">Protection de la peau</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Protection de la peau et du corps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Porter un vêtement de protection approprié.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Protection des mains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Gants de protection.</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Protection respiratoire</w:t>
      </w:r>
    </w:p>
    <w:p>
      <w:pPr>
        <w:spacing w:after="60" w:before="0"/>
        <w:jc w:val="left"/>
      </w:pPr>
      <w:r>
        <w:rPr>
          <w:rFonts w:ascii="Arial" w:cs="Arial" w:eastAsia="Arial" w:hAnsi="Arial"/>
          <w:b w:val="false"/>
          <w:bCs w:val="false"/>
          <w:i w:val="false"/>
          <w:iCs w:val="false"/>
          <w:color w:val="000000"/>
          <w:sz w:val="18"/>
          <w:szCs w:val="18"/>
        </w:rPr>
        <w:t xml:space="preserve">En cas de ventilation insuffisante, porter un appareil respiratoire approprié.</w:t>
      </w:r>
    </w:p>
    <w:p>
      <w:pPr>
        <w:spacing w:after="60" w:before="0"/>
        <w:jc w:val="left"/>
      </w:pPr>
      <w:r>
        <w:rPr>
          <w:rFonts w:ascii="Arial" w:cs="Arial" w:eastAsia="Arial" w:hAnsi="Arial"/>
          <w:b/>
          <w:bCs/>
          <w:i w:val="false"/>
          <w:iCs w:val="false"/>
          <w:color w:val="000000"/>
          <w:sz w:val="18"/>
          <w:szCs w:val="18"/>
        </w:rPr>
        <w:t xml:space="preserve">Contrôles d'exposition liés à la protection de l'environnement</w:t>
      </w:r>
    </w:p>
    <w:p>
      <w:pPr>
        <w:spacing w:after="60" w:before="0"/>
        <w:jc w:val="left"/>
      </w:pPr>
      <w:r>
        <w:rPr>
          <w:rFonts w:ascii="Arial" w:cs="Arial" w:eastAsia="Arial" w:hAnsi="Arial"/>
          <w:b w:val="false"/>
          <w:bCs w:val="false"/>
          <w:i w:val="false"/>
          <w:iCs w:val="false"/>
          <w:color w:val="000000"/>
          <w:sz w:val="18"/>
          <w:szCs w:val="18"/>
        </w:rPr>
        <w:t xml:space="preserve">Éviter le rejet dans l'environnement.</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9: Propriétés physiques et chimiques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9.1. Informations sur les propriétés physiques et chimiques essentielles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État physique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Selon la cire / base employée (concentré : liquide)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Couleur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Selon la cire / base employée (concentré : jaune pâle à jaune clair)</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Apparence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Selon la cire / base employée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Odeur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Caractéristique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Seuil olfactif</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Point de fusion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Selon la cire / base employée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Point de congélation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Point d'ébullition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 (dépend de la base)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Inflammabilité</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Dépend de la cire / base employée – à vérifier par le client (concentré : ininflammable)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Limite inférieure d'explosion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Limite supérieure d'explosion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Point d'éclair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À déterminer en fonction de la base (concentré : &gt; 80 °C)</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Température d'auto-inflammation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Température de décomposition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pH</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Viscosité, cinématique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Solubilité</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Coefficient de partage n-octanol/eau (Log Kow)</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Pression de vapeur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Pression de vapeur à 50°C</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Masse volumique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Densité relative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 (dépend de la base ; concentré : 0,948 – 0,978 à 20 °C)</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Densité relative de vapeur à 20°C</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Caractéristiques d'une particule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applicable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9.2. Autres informations</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Autres caractéristiques de sécurité</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Indice de réfraction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À déterminer en fonction de la base (concentré : 1,483 – 1,513 à 20 °C)</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10: Stabilité et réactivité</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10.1. Réactivité</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Le produit n'est pas réactif dans les conditions normales d'utilisation, de stockage et de transport.</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10.2. Stabilité chimique</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Stable dans les conditions normales.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10.3. Possibilité de réactions dangereuses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réaction dangereuse connue dans les conditions normales d'emploi.</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10.4. Conditions à éviter</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Aucune dans des conditions de stockage et de manipulation recommandées (voir rubrique 7).</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10.5. Matières incompatibles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10.6. Produits de décomposition dangereux</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Aucun produit de décomposition dangereux ne devrait être généré dans les conditions normales de stockage et d'emploi.</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11: Informations toxicologiques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11.1. Informations sur les classes de danger telles que définies dans le règlement (CE) n° 1272/2008</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aiguë (orale)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(ATEmix orale ≈ 41 000 mg/kg, d'après l'ATEmix du concentré de 4 084,51 mg/kg)</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aiguë (cutanée)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(ATEmix cutanée calculée ≈ 130 000 mg/kg)</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aiguë (Inhalation)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Corrosion cutanée/irritation cutanée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(ΣSkin Irrit. 2 ≤ 4 % après dilution, inférieur au seuil de 10 %)</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Lésions oculaires graves/irritation oculaire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(ΣEye Irrit. 2 ≤ 4,5 % après dilution, inférieur au seuil de 10 %)</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Sensibilisation respiratoire ou cutanée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Peut provoquer une allergie cutanée (Skin Sens. 1, H317) – voir rubrique 16.</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Mutagénicité sur les cellules germinales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Cancérogénicité</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pour la reproduction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spécifique pour certains organes cibles (STOT) (exposition unique)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spécifique pour certains organes cibles (STOT) (exposition répétée)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 par aspiration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(ΣAsp. Tox. 1 ≤ 0,5 % &lt; 10 %)</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Données toxicologiques des principaux composants (FDS du concentré)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000"/>
        <w:gridCol w:w="4638"/>
      </w:tblGrid>
      <w:tr>
        <w:trPr>
          <w:tblHeader/>
        </w:trPr>
        <w:tc>
          <w:tcPr>
            <w:tcW w:type="dxa" w:w="50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Substance</w:t>
            </w:r>
          </w:p>
        </w:tc>
        <w:tc>
          <w:tcPr>
            <w:tcW w:type="dxa" w:w="46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Donnée</w:t>
            </w:r>
          </w:p>
        </w:tc>
      </w:tr>
      <w:tr>
        <w:trPr>
          <w:cantSplit/>
        </w:trPr>
        <w:tc>
          <w:tcPr>
            <w:tcW w:type="dxa" w:w="5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Benzyl benzoate (120-51-4)</w:t>
            </w:r>
          </w:p>
        </w:tc>
        <w:tc>
          <w:tcPr>
            <w:tcW w:type="dxa" w:w="4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 orale : 1160 mg/kg</w:t>
            </w:r>
          </w:p>
        </w:tc>
      </w:tr>
      <w:tr>
        <w:trPr>
          <w:cantSplit/>
        </w:trPr>
        <w:tc>
          <w:tcPr>
            <w:tcW w:type="dxa" w:w="5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(E)-alpha-damascone (24720-09-0)</w:t>
            </w:r>
          </w:p>
        </w:tc>
        <w:tc>
          <w:tcPr>
            <w:tcW w:type="dxa" w:w="4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 orale : 1670 mg/kg</w:t>
            </w:r>
          </w:p>
        </w:tc>
      </w:tr>
      <w:tr>
        <w:trPr>
          <w:cantSplit/>
        </w:trPr>
        <w:tc>
          <w:tcPr>
            <w:tcW w:type="dxa" w:w="5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Chromen-2-one – coumarin (91-64-5)</w:t>
            </w:r>
          </w:p>
        </w:tc>
        <w:tc>
          <w:tcPr>
            <w:tcW w:type="dxa" w:w="4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 orale : 290 mg/kg</w:t>
            </w:r>
          </w:p>
        </w:tc>
      </w:tr>
      <w:tr>
        <w:trPr>
          <w:cantSplit/>
        </w:trPr>
        <w:tc>
          <w:tcPr>
            <w:tcW w:type="dxa" w:w="5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Allyl cyclohexyl propionate (2705-87-5)</w:t>
            </w:r>
          </w:p>
        </w:tc>
        <w:tc>
          <w:tcPr>
            <w:tcW w:type="dxa" w:w="4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 orale : 480 mg/kg ; ATE cutanée : 1600 mg/kg</w:t>
            </w:r>
          </w:p>
        </w:tc>
      </w:tr>
      <w:tr>
        <w:trPr>
          <w:cantSplit/>
        </w:trPr>
        <w:tc>
          <w:tcPr>
            <w:tcW w:type="dxa" w:w="5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Mélange concentré TABAC</w:t>
            </w:r>
          </w:p>
        </w:tc>
        <w:tc>
          <w:tcPr>
            <w:tcW w:type="dxa" w:w="4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ATEmix orale : 4 084,51 mg/kg (déterminée)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11.2. Informations sur les autres dangers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12: Informations écologiques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12.1. Toxicité</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Ecologie - général</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Nocif pour les organismes aquatiques, entraîne des effets néfastes à long terme.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Dangers pour le milieu aquatique, à court terme (aiguë)</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Dangers pour le milieu aquatique, à long terme (chronique)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Nocif pour les organismes aquatiques, entraîne des effets néfastes à long terme (Aquatic Chronic 3, H412).</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12.2. Persistance et dégradabilité</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données disponibles (FDS du concentré : pas de données à ce jour).</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12.3. Potentiel de bioaccumulation</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données disponibles (FDS du concentré : pas de données à ce jour).</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12.4. Mobilité dans le sol</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données disponibles (FDS du concentré : pas de données à ce jour).</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12.5. Résultats des évaluations PBT et vPvB</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données disponibles (FDS du concentré : pas de données à ce jour).</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12.6. Propriétés perturbant le système endocrinien</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12.7. Autres effets néfastes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13: Considérations relatives à l'élimination</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13.1. Méthodes de traitement des déchets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Réglementation régionale sur les déchets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Elimination à effectuer conformément aux prescriptions légales.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Méthodes de traitement des déchets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Eliminer le contenu/récipient conformément aux consignes de tri du collecteur agréé.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Recommandations pour l'élimination des eaux usées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Elimination à effectuer conformément aux prescriptions légales.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Recommandations pour le traitement du produit/emballage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Elimination à effectuer conformément aux prescriptions légales.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Indications complémentaires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Ne pas réutiliser des récipients vides.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14: Informations relatives au transport</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En conformité avec: ADR / IMDG / IATA / ADN / RID</w:t>
      </w:r>
    </w:p>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soumis au transport de matières dangereuses (ADR/RID/ADN/IMDG/IATA), sous réserve de vérification de la base utilisée. Le mélange dilué est classé Aquatic Chronic 3 uniquement et ne relève donc plus du n° ONU 3082 (le concentré pur est classé UN 3082, classe 9, GE III).</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14.1. Numéro ONU ou numéro d'identification</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applicable</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14.2. Désignation officielle de transport de l'ONU</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applicable</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14.3. Classe(s) de danger pour le transport</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applicable</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14.4. Groupe d'emballage</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applicable</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14.5. Dangers pour l'environnement</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Dangereux pour l'environnement: Non</w:t>
      </w:r>
    </w:p>
    <w:p>
      <w:pPr>
        <w:spacing w:after="60" w:before="0"/>
        <w:jc w:val="left"/>
      </w:pPr>
      <w:r>
        <w:rPr>
          <w:rFonts w:ascii="Arial" w:cs="Arial" w:eastAsia="Arial" w:hAnsi="Arial"/>
          <w:b w:val="false"/>
          <w:bCs w:val="false"/>
          <w:i w:val="false"/>
          <w:iCs w:val="false"/>
          <w:color w:val="000000"/>
          <w:sz w:val="18"/>
          <w:szCs w:val="18"/>
        </w:rPr>
        <w:t xml:space="preserve">Polluant marin: Non</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14.6. Précautions particulières à prendre par l'utilisateur</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14.7. Transport maritime en vrac conformément aux instruments de l'OMI</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applicable</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15: Informations relatives à la réglementation</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15.1. Réglementations/législation particulières à la substance ou au mélange en matière de sécurité, de santé et d'environnement</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Réglementations UE</w:t>
      </w:r>
    </w:p>
    <w:p>
      <w:pPr>
        <w:spacing w:after="60" w:before="0"/>
        <w:jc w:val="left"/>
      </w:pPr>
      <w:r>
        <w:rPr>
          <w:rFonts w:ascii="Arial" w:cs="Arial" w:eastAsia="Arial" w:hAnsi="Arial"/>
          <w:b/>
          <w:bCs/>
          <w:i w:val="false"/>
          <w:iCs w:val="false"/>
          <w:color w:val="000000"/>
          <w:sz w:val="18"/>
          <w:szCs w:val="18"/>
        </w:rPr>
        <w:t xml:space="preserve">Annexe XVII de REACH (Liste de restriction)</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l'Annexe XVII de REACH (Conditions de restriction).</w:t>
      </w:r>
    </w:p>
    <w:p>
      <w:pPr>
        <w:spacing w:after="60" w:before="0"/>
        <w:jc w:val="left"/>
      </w:pPr>
      <w:r>
        <w:rPr>
          <w:rFonts w:ascii="Arial" w:cs="Arial" w:eastAsia="Arial" w:hAnsi="Arial"/>
          <w:b/>
          <w:bCs/>
          <w:i w:val="false"/>
          <w:iCs w:val="false"/>
          <w:color w:val="000000"/>
          <w:sz w:val="18"/>
          <w:szCs w:val="18"/>
        </w:rPr>
        <w:t xml:space="preserve">Annexe XIV de REACH (Liste d'autorisation)</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l'annexe XIV de REACH.</w:t>
      </w:r>
    </w:p>
    <w:p>
      <w:pPr>
        <w:spacing w:after="60" w:before="0"/>
        <w:jc w:val="left"/>
      </w:pPr>
      <w:r>
        <w:rPr>
          <w:rFonts w:ascii="Arial" w:cs="Arial" w:eastAsia="Arial" w:hAnsi="Arial"/>
          <w:b/>
          <w:bCs/>
          <w:i w:val="false"/>
          <w:iCs w:val="false"/>
          <w:color w:val="000000"/>
          <w:sz w:val="18"/>
          <w:szCs w:val="18"/>
        </w:rPr>
        <w:t xml:space="preserve">Liste candidate REACH (SVHC)</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 liste des substances candidates de REACH.</w:t>
      </w:r>
    </w:p>
    <w:p>
      <w:pPr>
        <w:spacing w:after="60" w:before="0"/>
        <w:jc w:val="left"/>
      </w:pPr>
      <w:r>
        <w:rPr>
          <w:rFonts w:ascii="Arial" w:cs="Arial" w:eastAsia="Arial" w:hAnsi="Arial"/>
          <w:b/>
          <w:bCs/>
          <w:i w:val="false"/>
          <w:iCs w:val="false"/>
          <w:color w:val="000000"/>
          <w:sz w:val="18"/>
          <w:szCs w:val="18"/>
        </w:rPr>
        <w:t xml:space="preserve">Règlement PIC (UE 649/2012)</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 liste PIC.</w:t>
      </w:r>
    </w:p>
    <w:p>
      <w:pPr>
        <w:spacing w:after="60" w:before="0"/>
        <w:jc w:val="left"/>
      </w:pPr>
      <w:r>
        <w:rPr>
          <w:rFonts w:ascii="Arial" w:cs="Arial" w:eastAsia="Arial" w:hAnsi="Arial"/>
          <w:b/>
          <w:bCs/>
          <w:i w:val="false"/>
          <w:iCs w:val="false"/>
          <w:color w:val="000000"/>
          <w:sz w:val="18"/>
          <w:szCs w:val="18"/>
        </w:rPr>
        <w:t xml:space="preserve">Règlement POP (UE 2019/1021)</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 liste des POP.</w:t>
      </w:r>
    </w:p>
    <w:p>
      <w:pPr>
        <w:spacing w:after="60" w:before="0"/>
        <w:jc w:val="left"/>
      </w:pPr>
      <w:r>
        <w:rPr>
          <w:rFonts w:ascii="Arial" w:cs="Arial" w:eastAsia="Arial" w:hAnsi="Arial"/>
          <w:b/>
          <w:bCs/>
          <w:i w:val="false"/>
          <w:iCs w:val="false"/>
          <w:color w:val="000000"/>
          <w:sz w:val="18"/>
          <w:szCs w:val="18"/>
        </w:rPr>
        <w:t xml:space="preserve">Règlement sur l'ozone (2024/590)</w:t>
      </w:r>
    </w:p>
    <w:p>
      <w:pPr>
        <w:spacing w:after="60" w:before="0"/>
        <w:jc w:val="left"/>
      </w:pPr>
      <w:r>
        <w:rPr>
          <w:rFonts w:ascii="Arial" w:cs="Arial" w:eastAsia="Arial" w:hAnsi="Arial"/>
          <w:b w:val="false"/>
          <w:bCs w:val="false"/>
          <w:i w:val="false"/>
          <w:iCs w:val="false"/>
          <w:color w:val="000000"/>
          <w:sz w:val="18"/>
          <w:szCs w:val="18"/>
        </w:rPr>
        <w:t xml:space="preserve">Ne contient aucune substance listée dans la liste des substances appauvrissant la couche d'ozone.</w:t>
      </w:r>
    </w:p>
    <w:p>
      <w:pPr>
        <w:spacing w:after="60" w:before="0"/>
        <w:jc w:val="left"/>
      </w:pPr>
      <w:r>
        <w:rPr>
          <w:rFonts w:ascii="Arial" w:cs="Arial" w:eastAsia="Arial" w:hAnsi="Arial"/>
          <w:b/>
          <w:bCs/>
          <w:i w:val="false"/>
          <w:iCs w:val="false"/>
          <w:color w:val="000000"/>
          <w:sz w:val="18"/>
          <w:szCs w:val="18"/>
        </w:rPr>
        <w:t xml:space="preserve">Règlement sur les biens à double usage</w:t>
      </w:r>
    </w:p>
    <w:p>
      <w:pPr>
        <w:spacing w:after="60" w:before="0"/>
        <w:jc w:val="left"/>
      </w:pPr>
      <w:r>
        <w:rPr>
          <w:rFonts w:ascii="Arial" w:cs="Arial" w:eastAsia="Arial" w:hAnsi="Arial"/>
          <w:b w:val="false"/>
          <w:bCs w:val="false"/>
          <w:i w:val="false"/>
          <w:iCs w:val="false"/>
          <w:color w:val="000000"/>
          <w:sz w:val="18"/>
          <w:szCs w:val="18"/>
        </w:rPr>
        <w:t xml:space="preserve">Ne contient aucune substance soumise au règlement relatif au contrôle des biens à double usage.</w:t>
      </w:r>
    </w:p>
    <w:p>
      <w:pPr>
        <w:spacing w:after="60" w:before="0"/>
        <w:jc w:val="left"/>
      </w:pPr>
      <w:r>
        <w:rPr>
          <w:rFonts w:ascii="Arial" w:cs="Arial" w:eastAsia="Arial" w:hAnsi="Arial"/>
          <w:b/>
          <w:bCs/>
          <w:i w:val="false"/>
          <w:iCs w:val="false"/>
          <w:color w:val="000000"/>
          <w:sz w:val="18"/>
          <w:szCs w:val="18"/>
        </w:rPr>
        <w:t xml:space="preserve">Règlement sur les précurseurs d'explosifs (UE 2019/1148)</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w:t>
      </w:r>
    </w:p>
    <w:p>
      <w:pPr>
        <w:spacing w:after="60" w:before="0"/>
        <w:jc w:val="left"/>
      </w:pPr>
      <w:r>
        <w:rPr>
          <w:rFonts w:ascii="Arial" w:cs="Arial" w:eastAsia="Arial" w:hAnsi="Arial"/>
          <w:b/>
          <w:bCs/>
          <w:i w:val="false"/>
          <w:iCs w:val="false"/>
          <w:color w:val="000000"/>
          <w:sz w:val="18"/>
          <w:szCs w:val="18"/>
        </w:rPr>
        <w:t xml:space="preserve">Règlement sur les précurseurs de drogues (CE 273/2004)</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15.2. Évaluation de la sécurité chimique</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Aucune évaluation de la sécurité chimique n'a été effectuée.</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16: Autres informations</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Référence FDS d'origine :</w:t>
      </w:r>
    </w:p>
    <w:p>
      <w:pPr>
        <w:spacing w:after="60" w:before="0"/>
        <w:jc w:val="left"/>
      </w:pPr>
      <w:r>
        <w:rPr>
          <w:rFonts w:ascii="Arial" w:cs="Arial" w:eastAsia="Arial" w:hAnsi="Arial"/>
          <w:b w:val="false"/>
          <w:bCs w:val="false"/>
          <w:i w:val="false"/>
          <w:iCs w:val="false"/>
          <w:color w:val="000000"/>
          <w:sz w:val="18"/>
          <w:szCs w:val="18"/>
        </w:rPr>
        <w:t xml:space="preserve">TABAC – Édité le 23/06/2025 – Révision : 001NEW-1-CLP du 23/06/2025 – UFI du concentré : MMED-D1U6-C00E-MTH5</w:t>
      </w:r>
    </w:p>
    <w:p>
      <w:pPr>
        <w:spacing w:after="60" w:before="0"/>
      </w:pPr>
      <w:r>
        <w:rPr>
          <w:sz w:val="18"/>
          <w:szCs w:val="18"/>
        </w:rPr>
        <w:t xml:space="preserve"/>
      </w:r>
    </w:p>
    <w:p>
      <w:pPr>
        <w:spacing w:after="60" w:before="0"/>
        <w:jc w:val="left"/>
      </w:pPr>
      <w:r>
        <w:rPr>
          <w:rFonts w:ascii="Arial" w:cs="Arial" w:eastAsia="Arial" w:hAnsi="Arial"/>
          <w:b/>
          <w:bCs/>
          <w:i w:val="false"/>
          <w:iCs w:val="false"/>
          <w:color w:val="C00000"/>
          <w:sz w:val="18"/>
          <w:szCs w:val="18"/>
        </w:rPr>
        <w:t xml:space="preserve">Note importante – dilution à 10% :</w:t>
      </w:r>
    </w:p>
    <w:p>
      <w:pPr>
        <w:spacing w:after="60" w:before="0"/>
        <w:jc w:val="left"/>
      </w:pPr>
      <w:r>
        <w:rPr>
          <w:rFonts w:ascii="Arial" w:cs="Arial" w:eastAsia="Arial" w:hAnsi="Arial"/>
          <w:b w:val="false"/>
          <w:bCs w:val="false"/>
          <w:i w:val="false"/>
          <w:iCs w:val="false"/>
          <w:color w:val="000000"/>
          <w:sz w:val="18"/>
          <w:szCs w:val="18"/>
        </w:rPr>
        <w:t xml:space="preserve">Cette FDS concerne le concentré TABAC dilué à 10% dans une cire / base de bougie (90%). Les concentrations indiquées en rubrique 3 sont calculées en multipliant celles du concentré par 0,1. La FDS du concentré donnant des tranches « [20-25] », « [10-15] », « [5-10] » et « [0-5] » %, la classification a été recalculée par méthode de calcul conformément au règlement CLP (CE) n° 1272/2008 en retenant la borne haute de chaque tranche (approche majorante) :</w:t>
      </w:r>
    </w:p>
    <w:p>
      <w:pPr>
        <w:spacing w:after="60" w:before="0"/>
        <w:jc w:val="left"/>
      </w:pPr>
      <w:r>
        <w:rPr>
          <w:rFonts w:ascii="Arial" w:cs="Arial" w:eastAsia="Arial" w:hAnsi="Arial"/>
          <w:b w:val="false"/>
          <w:bCs w:val="false"/>
          <w:i w:val="false"/>
          <w:iCs w:val="false"/>
          <w:color w:val="000000"/>
          <w:sz w:val="18"/>
          <w:szCs w:val="18"/>
        </w:rPr>
        <w:t xml:space="preserve">• Toxicité aiguë : ATEmix orale = 4 084,51 / 0,1 ≈ 41 000 mg/kg &gt; 2000 mg/kg → non classé. ATEmix cutanée = 100 / (0,5/1100 + 0,5/1600) ≈ 130 000 mg/kg → non classé (valeur de conversion 1100 mg/kg retenue pour le cinnamaldéhyde, Acute Tox. 4 cutané sans ATE). (Concentré : non classé.)</w:t>
      </w:r>
    </w:p>
    <w:p>
      <w:pPr>
        <w:spacing w:after="60" w:before="0"/>
        <w:jc w:val="left"/>
      </w:pPr>
      <w:r>
        <w:rPr>
          <w:rFonts w:ascii="Arial" w:cs="Arial" w:eastAsia="Arial" w:hAnsi="Arial"/>
          <w:b w:val="false"/>
          <w:bCs w:val="false"/>
          <w:i w:val="false"/>
          <w:iCs w:val="false"/>
          <w:color w:val="000000"/>
          <w:sz w:val="18"/>
          <w:szCs w:val="18"/>
        </w:rPr>
        <w:t xml:space="preserve">• Irritation cutanée : ΣSkin Irrit. 2 = 1,5 (iso e super) + 5 × 0,5 = 4 % max, inférieur au seuil de 10 % → non classé Skin Irrit. 2 (déclassement de H315 du concentré).</w:t>
      </w:r>
    </w:p>
    <w:p>
      <w:pPr>
        <w:spacing w:after="60" w:before="0"/>
        <w:jc w:val="left"/>
      </w:pPr>
      <w:r>
        <w:rPr>
          <w:rFonts w:ascii="Arial" w:cs="Arial" w:eastAsia="Arial" w:hAnsi="Arial"/>
          <w:b w:val="false"/>
          <w:bCs w:val="false"/>
          <w:i w:val="false"/>
          <w:iCs w:val="false"/>
          <w:color w:val="000000"/>
          <w:sz w:val="18"/>
          <w:szCs w:val="18"/>
        </w:rPr>
        <w:t xml:space="preserve">• Irritation oculaire : ΣEye Irrit. 2 = 1 (éthylvanilline) + 7 × 0,5 = 4,5 % max, inférieur au seuil de 10 % → non classé Eye Irrit. 2 (déclassement de H319 du concentré).</w:t>
      </w:r>
    </w:p>
    <w:p>
      <w:pPr>
        <w:spacing w:after="60" w:before="0"/>
        <w:jc w:val="left"/>
      </w:pPr>
      <w:r>
        <w:rPr>
          <w:rFonts w:ascii="Arial" w:cs="Arial" w:eastAsia="Arial" w:hAnsi="Arial"/>
          <w:b w:val="false"/>
          <w:bCs w:val="false"/>
          <w:i w:val="false"/>
          <w:iCs w:val="false"/>
          <w:color w:val="000000"/>
          <w:sz w:val="18"/>
          <w:szCs w:val="18"/>
        </w:rPr>
        <w:t xml:space="preserve">• Sensibilisation cutanée (non additive, évaluée composant par composant) : l'alpha-hexyl cinnamaldéhyde et l'iso e super (Skin Sens. 1B, limite 1 %) sont chacun entre 1 et 1,5 % après dilution, donc ≥ 1 % → Skin Sens. 1, H317 maintenu (certain). De plus, le cinnamaldéhyde (Skin Sens. 1A, limite 0,1 %) peut atteindre 0,5 %. Pictogramme GHS07, mention « Attention ». Les sensibilisants responsables de la classification sont indiqués sous « Contient » en rubrique 2.2.</w:t>
      </w:r>
    </w:p>
    <w:p>
      <w:pPr>
        <w:spacing w:after="60" w:before="0"/>
        <w:jc w:val="left"/>
      </w:pPr>
      <w:r>
        <w:rPr>
          <w:rFonts w:ascii="Arial" w:cs="Arial" w:eastAsia="Arial" w:hAnsi="Arial"/>
          <w:b w:val="false"/>
          <w:bCs w:val="false"/>
          <w:i w:val="false"/>
          <w:iCs w:val="false"/>
          <w:color w:val="000000"/>
          <w:sz w:val="18"/>
          <w:szCs w:val="18"/>
        </w:rPr>
        <w:t xml:space="preserve">• Danger aquatique aigu (facteurs M = 1) : ΣAcute 1 = 6 % max &lt; 25 % → non classé (déclassement de H400 du concentré).</w:t>
      </w:r>
    </w:p>
    <w:p>
      <w:pPr>
        <w:spacing w:after="60" w:before="0"/>
        <w:jc w:val="left"/>
      </w:pPr>
      <w:r>
        <w:rPr>
          <w:rFonts w:ascii="Arial" w:cs="Arial" w:eastAsia="Arial" w:hAnsi="Arial"/>
          <w:b w:val="false"/>
          <w:bCs w:val="false"/>
          <w:i w:val="false"/>
          <w:iCs w:val="false"/>
          <w:color w:val="000000"/>
          <w:sz w:val="18"/>
          <w:szCs w:val="18"/>
        </w:rPr>
        <w:t xml:space="preserve">• Danger aquatique chronique (facteurs M = 1) : ΣChr1 = 1 % ; ΣChr2 = 7 % ; ΣChr3 = 1,5 % (bornes hautes). Catégorie 2 : 10×ΣChr1 + ΣChr2 = 17 % max &lt; 25 % → non classé Chronic 2 (déclassement de H411, suppression du pictogramme GHS09). Catégorie 3 : même en bornes basses, 10×ΣChr2 ≥ 10 × (2 + 1 + 1) = 40 % ≥ 25 % → Aquatic Chronic 3, H412 (certain).</w:t>
      </w:r>
    </w:p>
    <w:p>
      <w:pPr>
        <w:spacing w:after="60" w:before="0"/>
        <w:jc w:val="left"/>
      </w:pPr>
      <w:r>
        <w:rPr>
          <w:rFonts w:ascii="Arial" w:cs="Arial" w:eastAsia="Arial" w:hAnsi="Arial"/>
          <w:b w:val="false"/>
          <w:bCs w:val="false"/>
          <w:i w:val="false"/>
          <w:iCs w:val="false"/>
          <w:color w:val="000000"/>
          <w:sz w:val="18"/>
          <w:szCs w:val="18"/>
        </w:rPr>
        <w:t xml:space="preserve">• Asp. Tox. 1 (D-limonène ≤ 0,5 % &lt; 10 %) et Flam. Liq. (concentré : point d'éclair &gt; 80 °C) : non classé.</w:t>
      </w:r>
    </w:p>
    <w:p>
      <w:pPr>
        <w:spacing w:after="60" w:before="0"/>
        <w:jc w:val="left"/>
      </w:pPr>
      <w:r>
        <w:rPr>
          <w:rFonts w:ascii="Arial" w:cs="Arial" w:eastAsia="Arial" w:hAnsi="Arial"/>
          <w:b w:val="false"/>
          <w:bCs w:val="false"/>
          <w:i w:val="false"/>
          <w:iCs w:val="false"/>
          <w:color w:val="000000"/>
          <w:sz w:val="18"/>
          <w:szCs w:val="18"/>
        </w:rPr>
        <w:t xml:space="preserve">• UFI : le mélange dilué étant classé pour un danger pour la santé (H317), il entre dans le champ de la notification aux centres antipoison (annexe VIII du CLP) → UFI requis. La notification PCN est à réaliser par le fabricant de la bougie, en déclarant le concentré par son UFI (MMED-D1U6-C00E-MTH5).</w:t>
      </w:r>
    </w:p>
    <w:p>
      <w:pPr>
        <w:spacing w:after="60" w:before="0"/>
        <w:jc w:val="left"/>
      </w:pPr>
      <w:r>
        <w:rPr>
          <w:rFonts w:ascii="Arial" w:cs="Arial" w:eastAsia="Arial" w:hAnsi="Arial"/>
          <w:b w:val="false"/>
          <w:bCs w:val="false"/>
          <w:i w:val="false"/>
          <w:iCs w:val="false"/>
          <w:color w:val="000000"/>
          <w:sz w:val="18"/>
          <w:szCs w:val="18"/>
        </w:rPr>
        <w:t xml:space="preserve">Si la base de dilution ou un additif employé par le client est lui-même classé dangereux, ses dangers doivent être ajoutés et la classification finale (et l'obligation d'UFI) recalculée par le fabricant de la bougie.</w:t>
      </w:r>
    </w:p>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Abréviations et acronymes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blHeader/>
        </w:trPr>
        <w:tc>
          <w:tcPr>
            <w:tcW w:type="dxa" w:w="22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Abréviation</w:t>
            </w:r>
          </w:p>
        </w:tc>
        <w:tc>
          <w:tcPr>
            <w:tcW w:type="dxa" w:w="74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Signification</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ADR</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Accord européen relatif au transport international des marchandises Dangereuses par Route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ADN</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Accord européen relatif au transport international des marchandises dangereuses par voies de navigation intérieures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IATA</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Association internationale du transport aérien</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IMDG</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Code maritime international des marchandises dangereuses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RID</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Règlement International concernant le transport de marchandises dangereuses par chemin de fer</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CLP</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Règlement (CE) n° 1272/2008 relatif à la classification, à l'étiquetage et à l'emballage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REACH</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Règlement (CE) n° 1907/2006</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FDS</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Fiche de Données de Sécurité</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EPI</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Équipements de protection individuelle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Numéro Chemical Abstracts Service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CE</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Numéro de la Communauté européenne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Estimation de la toxicité aiguë</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DL50 / CL50</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Dose / concentration létale médiane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Log Pow / Log Kow</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Coefficient de partage n-octanol/eau</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PBT</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Persistant, bioaccumulable et toxique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vPvB</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Très persistant et très bioaccumulable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UFI</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Identifiant unique de formulation</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VLEP</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Valeur limite d'exposition professionnelle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Texte intégral des phrases H et EUH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blHeader/>
        </w:trPr>
        <w:tc>
          <w:tcPr>
            <w:tcW w:type="dxa" w:w="22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Code</w:t>
            </w:r>
          </w:p>
        </w:tc>
        <w:tc>
          <w:tcPr>
            <w:tcW w:type="dxa" w:w="74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Phrase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orale)</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Toxicité aiguë (par voie orale), catégorie 4</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cutanée)</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Toxicité aiguë (par voie cutanée), catégorie 4</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Acute 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Dangereux pour le milieu aquatique – Danger aigu, catégorie 1</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Chronic 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Dangereux pour le milieu aquatique – Danger chronique, catégorie 1</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Chronic 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Dangereux pour le milieu aquatique – Danger chronique, catégorie 2</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Chronic 3</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Dangereux pour le milieu aquatique – Danger chronique, catégorie 3</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Asp. Tox. 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 par aspiration, catégorie 1</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Eye Irrit. 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Lésions oculaires graves/irritation oculaire, catégorie 2</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Flam. Liq. 3</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Liquides inflammables, catégorie 3</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Corrosif/irritant pour la peau, catégorie 2</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Sensibilisation cutanée, catégorie 1</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1A</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Sensibilisation cutanée, catégorie 1A</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1B</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Sensibilisation cutanée, catégorie 1B</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H226</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Liquide et vapeurs inflammables.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H302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Nocif en cas d'ingestion.</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H304</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Peut être mortel en cas d'ingestion et de pénétration dans les voies respiratoires.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H312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Nocif par contact cutané.</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H315</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Provoque une irritation cutanée.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H317</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Peut provoquer une allergie cutanée.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H319</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Provoque une sévère irritation des yeux.</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H400</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Très toxique pour les organismes aquatiques.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H410</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Très toxique pour les organismes aquatiques, entraîne des effets néfastes à long terme.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H411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Toxique pour les organismes aquatiques, entraîne des effets néfastes à long terme.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H412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Nocif pour les organismes aquatiques, entraîne des effets néfastes à long terme.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Classification et procédure utilisée pour établir la classification du mélange dilué à 10% (CLP)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200"/>
        <w:gridCol w:w="6238"/>
      </w:tblGrid>
      <w:tr>
        <w:trPr>
          <w:tblHeader/>
        </w:trPr>
        <w:tc>
          <w:tcPr>
            <w:tcW w:type="dxa" w:w="22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Classe</w:t>
            </w:r>
          </w:p>
        </w:tc>
        <w:tc>
          <w:tcPr>
            <w:tcW w:type="dxa" w:w="12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Code H</w:t>
            </w:r>
          </w:p>
        </w:tc>
        <w:tc>
          <w:tcPr>
            <w:tcW w:type="dxa" w:w="62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Procédure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w:t>
            </w:r>
          </w:p>
        </w:tc>
        <w:tc>
          <w:tcPr>
            <w:tcW w:type="dxa" w:w="1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H317</w:t>
            </w:r>
          </w:p>
        </w:tc>
        <w:tc>
          <w:tcPr>
            <w:tcW w:type="dxa" w:w="6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Méthode de calcul (composant par composant, limite générique 1 % pour les Skin Sens. 1B, 0,1 % pour les Skin Sens. 1A)</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Chronic 3</w:t>
            </w:r>
          </w:p>
        </w:tc>
        <w:tc>
          <w:tcPr>
            <w:tcW w:type="dxa" w:w="1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H412</w:t>
            </w:r>
          </w:p>
        </w:tc>
        <w:tc>
          <w:tcPr>
            <w:tcW w:type="dxa" w:w="6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Méthode de calcul (100×ΣChr1 + 10×ΣChr2 + ΣChr3 ≥ 25 %)</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La classification respecte : ATP 12</w:t>
      </w:r>
    </w:p>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headerReference w:type="default" r:id="rId7"/>
      <w:footerReference w:type="default" r:id="rId8"/>
      <w:pgSz w:w="11906" w:h="16838" w:orient="portrait"/>
      <w:pgMar w:top="1134" w:right="1134" w:bottom="1134" w:left="1134"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19"/>
        <w:tab w:val="right" w:pos="9638"/>
      </w:tabs>
    </w:pPr>
    <w:r>
      <w:rPr>
        <w:rFonts w:ascii="Arial" w:cs="Arial" w:eastAsia="Arial" w:hAnsi="Arial"/>
        <w:sz w:val="14"/>
        <w:szCs w:val="14"/>
      </w:rPr>
      <w:t>20/10/2026 (Date d'émission)</w:t>
    </w:r>
    <w:r>
      <w:rPr>
        <w:rFonts w:ascii="Arial" w:cs="Arial" w:eastAsia="Arial" w:hAnsi="Arial"/>
        <w:sz w:val="14"/>
        <w:szCs w:val="14"/>
      </w:rPr>
      <w:t xml:space="preserve">	FR - fr	</w:t>
    </w:r>
    <w:r>
      <w:rPr>
        <w:rFonts w:ascii="Arial" w:cs="Arial" w:eastAsia="Arial" w:hAnsi="Arial"/>
        <w:sz w:val="14"/>
        <w:szCs w:val="14"/>
      </w:rPr>
      <w:fldChar w:fldCharType="begin"/>
      <w:instrText xml:space="preserve">PAGE</w:instrText>
      <w:fldChar w:fldCharType="separate"/>
      <w:fldChar w:fldCharType="end"/>
    </w:r>
    <w:r>
      <w:rPr>
        <w:rFonts w:ascii="Arial" w:cs="Arial" w:eastAsia="Arial" w:hAnsi="Arial"/>
        <w:sz w:val="14"/>
        <w:szCs w:val="14"/>
      </w:rPr>
      <w:t xml:space="preserve">/</w:t>
    </w:r>
    <w:r>
      <w:rPr>
        <w:rFonts w:ascii="Arial" w:cs="Arial" w:eastAsia="Arial" w:hAnsi="Arial"/>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rPr>
        <w:rFonts w:ascii="Arial" w:cs="Arial" w:eastAsia="Arial" w:hAnsi="Arial"/>
        <w:b/>
        <w:bCs/>
        <w:sz w:val="22"/>
        <w:szCs w:val="22"/>
      </w:rPr>
      <w:t>TABAC 10%</w:t>
    </w:r>
  </w:p>
  <w:p>
    <w:pPr>
      <w:spacing w:after="0"/>
    </w:pPr>
    <w:r>
      <w:rPr>
        <w:rFonts w:ascii="Arial" w:cs="Arial" w:eastAsia="Arial" w:hAnsi="Arial"/>
        <w:sz w:val="18"/>
        <w:szCs w:val="18"/>
      </w:rPr>
      <w:t xml:space="preserve">Fiche de Données de Sécurité</w:t>
    </w:r>
  </w:p>
  <w:p>
    <w:pPr>
      <w:spacing w:after="60"/>
    </w:pPr>
    <w:r>
      <w:rPr>
        <w:rFonts w:ascii="Arial" w:cs="Arial" w:eastAsia="Arial" w:hAnsi="Arial"/>
        <w:sz w:val="14"/>
        <w:szCs w:val="14"/>
      </w:rPr>
      <w:t xml:space="preserve">conformément au règlement (CE) n° 1907/2006 (REACH) modifié par le règlement (UE) 2020/878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10% - FDS</dc:title>
  <dc:creator>Cowork (Claude)</dc:creator>
  <dc:description>Fiche de Données de Sécurité - Version diluée à 10%</dc:description>
  <cp:lastModifiedBy>Un-named</cp:lastModifiedBy>
  <cp:revision>1</cp:revision>
  <dcterms:created xsi:type="dcterms:W3CDTF">2026-05-05T07:46:59.893Z</dcterms:created>
  <dcterms:modified xsi:type="dcterms:W3CDTF">2026-05-05T07:46:59.893Z</dcterms:modified>
</cp:coreProperties>
</file>

<file path=docProps/custom.xml><?xml version="1.0" encoding="utf-8"?>
<Properties xmlns="http://schemas.openxmlformats.org/officeDocument/2006/custom-properties" xmlns:vt="http://schemas.openxmlformats.org/officeDocument/2006/docPropsVTypes"/>
</file>